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3108BC"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693688">
          <w:rPr>
            <w:webHidden/>
            <w:sz w:val="20"/>
            <w:szCs w:val="20"/>
          </w:rPr>
          <w:t>2</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693688">
          <w:rPr>
            <w:webHidden/>
            <w:sz w:val="20"/>
            <w:szCs w:val="20"/>
          </w:rPr>
          <w:t>5</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693688">
          <w:rPr>
            <w:webHidden/>
            <w:sz w:val="20"/>
            <w:szCs w:val="20"/>
          </w:rPr>
          <w:t>7</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693688">
          <w:rPr>
            <w:webHidden/>
            <w:sz w:val="20"/>
            <w:szCs w:val="20"/>
          </w:rPr>
          <w:t>8</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693688">
          <w:rPr>
            <w:webHidden/>
            <w:sz w:val="20"/>
            <w:szCs w:val="20"/>
          </w:rPr>
          <w:t>9</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693688">
          <w:rPr>
            <w:webHidden/>
            <w:sz w:val="20"/>
            <w:szCs w:val="20"/>
          </w:rPr>
          <w:t>20</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693688">
          <w:rPr>
            <w:webHidden/>
            <w:sz w:val="20"/>
            <w:szCs w:val="20"/>
          </w:rPr>
          <w:t>34</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693688">
          <w:rPr>
            <w:webHidden/>
            <w:sz w:val="20"/>
            <w:szCs w:val="20"/>
          </w:rPr>
          <w:t>38</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«КХ»</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«Заринское ДСУ-2»</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693688">
          <w:rPr>
            <w:webHidden/>
            <w:sz w:val="20"/>
            <w:szCs w:val="20"/>
          </w:rPr>
          <w:t>51</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«КХ»</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3108BC"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693688">
          <w:rPr>
            <w:webHidden/>
            <w:sz w:val="20"/>
            <w:szCs w:val="20"/>
          </w:rPr>
          <w:t>56</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693688">
          <w:rPr>
            <w:webHidden/>
            <w:sz w:val="20"/>
            <w:szCs w:val="20"/>
          </w:rPr>
          <w:t>57</w:t>
        </w:r>
        <w:r w:rsidRPr="00C32EB4">
          <w:rPr>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3108BC"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693688">
          <w:rPr>
            <w:webHidden/>
            <w:sz w:val="20"/>
            <w:szCs w:val="20"/>
          </w:rPr>
          <w:t>63</w:t>
        </w:r>
        <w:r w:rsidRPr="00C32EB4">
          <w:rPr>
            <w:webHidden/>
            <w:sz w:val="20"/>
            <w:szCs w:val="20"/>
          </w:rPr>
          <w:fldChar w:fldCharType="end"/>
        </w:r>
      </w:hyperlink>
    </w:p>
    <w:p w:rsidR="00C32EB4" w:rsidRPr="00C32EB4" w:rsidRDefault="003108BC"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693688">
          <w:rPr>
            <w:webHidden/>
            <w:sz w:val="20"/>
            <w:szCs w:val="20"/>
          </w:rPr>
          <w:t>68</w:t>
        </w:r>
        <w:r w:rsidRPr="00C32EB4">
          <w:rPr>
            <w:webHidden/>
            <w:sz w:val="20"/>
            <w:szCs w:val="20"/>
          </w:rPr>
          <w:fldChar w:fldCharType="end"/>
        </w:r>
      </w:hyperlink>
    </w:p>
    <w:p w:rsidR="00C32EB4" w:rsidRDefault="003108BC"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693688">
          <w:rPr>
            <w:webHidden/>
            <w:sz w:val="20"/>
            <w:szCs w:val="20"/>
          </w:rPr>
          <w:t>71</w:t>
        </w:r>
        <w:r w:rsidRPr="00C32EB4">
          <w:rPr>
            <w:webHidden/>
            <w:sz w:val="20"/>
            <w:szCs w:val="20"/>
          </w:rPr>
          <w:fldChar w:fldCharType="end"/>
        </w:r>
      </w:hyperlink>
    </w:p>
    <w:p w:rsidR="006D6FA8" w:rsidRPr="00151D43" w:rsidRDefault="003108BC"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2"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3"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Мероприятия по подключению к тепловой сети осуществляют ООО «Русская кожа «Алтай»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r w:rsidRPr="005D1F04">
        <w:rPr>
          <w:sz w:val="24"/>
          <w:szCs w:val="24"/>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r w:rsidRPr="00D6454D">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 xml:space="preserve">Приросты объемов потребления тепловой энергии и теплоносителя в производственных зонахпокрываются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EC067B">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EC067B">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EC067B">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В перспективе предполагается сохранение существующих зон, а также их 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39" w:name="_Toc468960430"/>
      <w:r w:rsidRPr="00D6454D">
        <w:rPr>
          <w:sz w:val="24"/>
          <w:szCs w:val="24"/>
        </w:rPr>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5C2F31">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5C2F31">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5C2F31">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832406,0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433234,0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399172,0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CB1A1E">
        <w:trPr>
          <w:trHeight w:val="20"/>
        </w:trPr>
        <w:tc>
          <w:tcPr>
            <w:tcW w:w="1800" w:type="pct"/>
            <w:tcBorders>
              <w:top w:val="nil"/>
              <w:left w:val="single" w:sz="4" w:space="0" w:color="auto"/>
              <w:bottom w:val="nil"/>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CB1A1E"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FC3D18" w:rsidRDefault="00CB1A1E"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Отпуск химически обессоленной воды (теплоноситель в виде пара), в т.ч.</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p>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951 075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20 430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r>
    </w:tbl>
    <w:p w:rsidR="00337F2B" w:rsidRDefault="00337F2B"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«КХ»</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ответственности ООО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ответственности ООО</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«КХ»</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МУП «КХ»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 xml:space="preserve">2 котла КВр-1,1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(КИПиА)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Приказ ФСТЭК от</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w:t>
      </w:r>
      <w:r w:rsidR="00777BE1">
        <w:rPr>
          <w:rFonts w:ascii="Times New Roman" w:hAnsi="Times New Roman"/>
          <w:color w:val="000000" w:themeColor="text1"/>
          <w:sz w:val="24"/>
          <w:szCs w:val="24"/>
        </w:rPr>
        <w:t>техническое перевооружение</w:t>
      </w:r>
      <w:r w:rsidRPr="0019167D">
        <w:rPr>
          <w:rFonts w:ascii="Times New Roman" w:hAnsi="Times New Roman"/>
          <w:color w:val="000000" w:themeColor="text1"/>
          <w:sz w:val="24"/>
          <w:szCs w:val="24"/>
        </w:rPr>
        <w:t>.</w:t>
      </w:r>
    </w:p>
    <w:p w:rsidR="00777BE1" w:rsidRDefault="00777BE1" w:rsidP="0019167D">
      <w:pPr>
        <w:pStyle w:val="afff"/>
        <w:spacing w:after="120" w:line="240" w:lineRule="auto"/>
        <w:ind w:left="0"/>
        <w:jc w:val="both"/>
        <w:rPr>
          <w:rFonts w:ascii="Times New Roman" w:hAnsi="Times New Roman"/>
          <w:color w:val="000000" w:themeColor="text1"/>
          <w:sz w:val="24"/>
          <w:szCs w:val="24"/>
        </w:rPr>
      </w:pPr>
    </w:p>
    <w:tbl>
      <w:tblPr>
        <w:tblW w:w="5057" w:type="pct"/>
        <w:tblInd w:w="-113" w:type="dxa"/>
        <w:tblLook w:val="04A0"/>
      </w:tblPr>
      <w:tblGrid>
        <w:gridCol w:w="572"/>
        <w:gridCol w:w="3624"/>
        <w:gridCol w:w="1640"/>
        <w:gridCol w:w="1640"/>
        <w:gridCol w:w="2490"/>
      </w:tblGrid>
      <w:tr w:rsidR="00777BE1" w:rsidRPr="00E41657" w:rsidTr="00EC067B">
        <w:trPr>
          <w:trHeight w:val="20"/>
          <w:tblHead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 п/п</w:t>
            </w:r>
          </w:p>
        </w:tc>
        <w:tc>
          <w:tcPr>
            <w:tcW w:w="1818"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Наименование</w:t>
            </w:r>
          </w:p>
        </w:tc>
        <w:tc>
          <w:tcPr>
            <w:tcW w:w="823" w:type="pct"/>
            <w:tcBorders>
              <w:top w:val="single" w:sz="4" w:space="0" w:color="auto"/>
              <w:left w:val="nil"/>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Период</w:t>
            </w:r>
          </w:p>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 xml:space="preserve"> выполнения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Стоимость, тыс. руб.</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Процент затрат</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w:t>
            </w:r>
          </w:p>
        </w:tc>
        <w:tc>
          <w:tcPr>
            <w:tcW w:w="1818" w:type="pct"/>
            <w:tcBorders>
              <w:top w:val="nil"/>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color w:val="000000"/>
                <w:sz w:val="20"/>
                <w:szCs w:val="20"/>
                <w:lang w:eastAsia="ru-RU"/>
              </w:rPr>
            </w:pPr>
            <w:r w:rsidRPr="00777BE1">
              <w:rPr>
                <w:rFonts w:ascii="Times New Roman" w:hAnsi="Times New Roman"/>
                <w:color w:val="000000"/>
                <w:sz w:val="20"/>
                <w:szCs w:val="20"/>
              </w:rPr>
              <w:t>Разработка проекта внедрение автоматизированной системы управления и сигнализации парового котла (котлоагрегата)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2016</w:t>
            </w:r>
          </w:p>
        </w:tc>
        <w:tc>
          <w:tcPr>
            <w:tcW w:w="823" w:type="pct"/>
            <w:tcBorders>
              <w:top w:val="nil"/>
              <w:left w:val="single" w:sz="4" w:space="0" w:color="auto"/>
              <w:bottom w:val="single" w:sz="4" w:space="0" w:color="auto"/>
              <w:right w:val="single" w:sz="4" w:space="0" w:color="auto"/>
            </w:tcBorders>
            <w:shd w:val="clear" w:color="000000" w:fill="FFFFFF"/>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4513</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Внедрение автоматизированной системы управления и сигнализации парового котла (котлоагрегата)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36686</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Снижение затрат на коррекционную обработку питательной воды, котловой воды</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1412</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7959</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 xml:space="preserve">Капитальный ремонт парового котла №3 </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№4</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паровой турбины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паровой турбины №2</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777BE1" w:rsidTr="00EC067B">
        <w:trPr>
          <w:trHeight w:val="20"/>
        </w:trPr>
        <w:tc>
          <w:tcPr>
            <w:tcW w:w="2105" w:type="pct"/>
            <w:gridSpan w:val="2"/>
            <w:tcBorders>
              <w:top w:val="single" w:sz="4" w:space="0" w:color="auto"/>
              <w:left w:val="single" w:sz="4" w:space="0" w:color="auto"/>
              <w:bottom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ИТОГО</w:t>
            </w:r>
          </w:p>
        </w:tc>
        <w:tc>
          <w:tcPr>
            <w:tcW w:w="823" w:type="pct"/>
            <w:tcBorders>
              <w:top w:val="single" w:sz="4" w:space="0" w:color="auto"/>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95086</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100,0%</w:t>
            </w:r>
          </w:p>
        </w:tc>
      </w:tr>
    </w:tbl>
    <w:p w:rsidR="00777BE1" w:rsidRPr="00777BE1" w:rsidRDefault="00777BE1" w:rsidP="0019167D">
      <w:pPr>
        <w:pStyle w:val="afff"/>
        <w:spacing w:after="120" w:line="240" w:lineRule="auto"/>
        <w:ind w:left="0"/>
        <w:jc w:val="both"/>
        <w:rPr>
          <w:rFonts w:ascii="Times New Roman" w:hAnsi="Times New Roman"/>
          <w:b/>
          <w:color w:val="000000" w:themeColor="text1"/>
          <w:sz w:val="20"/>
          <w:szCs w:val="20"/>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 теплоснабжения города  от ТЭЦ ОАО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Модернизация подкачивающих станций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прогнозируемые затраты на модернизацию Подкачивающей насосной станции (ПНС-1)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tblPr>
      <w:tblGrid>
        <w:gridCol w:w="4405"/>
        <w:gridCol w:w="734"/>
        <w:gridCol w:w="676"/>
        <w:gridCol w:w="711"/>
        <w:gridCol w:w="716"/>
        <w:gridCol w:w="716"/>
        <w:gridCol w:w="680"/>
        <w:gridCol w:w="680"/>
        <w:gridCol w:w="734"/>
        <w:gridCol w:w="734"/>
        <w:gridCol w:w="680"/>
        <w:gridCol w:w="734"/>
        <w:gridCol w:w="681"/>
        <w:gridCol w:w="681"/>
        <w:gridCol w:w="681"/>
        <w:gridCol w:w="681"/>
        <w:gridCol w:w="996"/>
      </w:tblGrid>
      <w:tr w:rsidR="00744326" w:rsidRPr="0071549B" w:rsidTr="0019167D">
        <w:trPr>
          <w:trHeight w:val="284"/>
        </w:trPr>
        <w:tc>
          <w:tcPr>
            <w:tcW w:w="13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01"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19167D">
        <w:trPr>
          <w:trHeight w:val="284"/>
        </w:trPr>
        <w:tc>
          <w:tcPr>
            <w:tcW w:w="138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4513</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9371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58944</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22258</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95086</w:t>
            </w:r>
          </w:p>
        </w:tc>
      </w:tr>
      <w:tr w:rsidR="0019167D" w:rsidRPr="0071549B" w:rsidTr="0019167D">
        <w:trPr>
          <w:trHeight w:val="284"/>
        </w:trPr>
        <w:tc>
          <w:tcPr>
            <w:tcW w:w="1385"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2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58944</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22258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114638</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8" w:name="_Toc468960464"/>
      <w:r w:rsidRPr="003A2B5E">
        <w:rPr>
          <w:sz w:val="24"/>
          <w:szCs w:val="24"/>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Капитальные затраты на модернизацию Подкачивающей насосной станции (ПНС-1) приняты с учетом следующих показателей:</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-укрупненных показателей сметной стоимости (УСС);</w:t>
      </w:r>
    </w:p>
    <w:p w:rsid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-коммерческих предложений поставщиков оборудования.</w:t>
      </w:r>
    </w:p>
    <w:p w:rsidR="0090581C" w:rsidRPr="0090581C" w:rsidRDefault="0090581C" w:rsidP="0090581C">
      <w:pPr>
        <w:jc w:val="both"/>
        <w:rPr>
          <w:rFonts w:ascii="Times" w:hAnsi="Times" w:cs="Calibri"/>
          <w:sz w:val="24"/>
          <w:szCs w:val="24"/>
        </w:rPr>
      </w:pPr>
      <w:r>
        <w:rPr>
          <w:rFonts w:ascii="Times New Roman" w:hAnsi="Times New Roman"/>
          <w:sz w:val="24"/>
          <w:szCs w:val="24"/>
        </w:rPr>
        <w:tab/>
      </w:r>
      <w:r w:rsidRPr="0090581C">
        <w:rPr>
          <w:rFonts w:ascii="Times New Roman" w:hAnsi="Times New Roman"/>
          <w:sz w:val="24"/>
          <w:szCs w:val="24"/>
        </w:rPr>
        <w:t>СтоимостьмодернизацииПодкачивающейнасоснойстанциипредставленавтаблице</w:t>
      </w:r>
      <w:r w:rsidRPr="0090581C">
        <w:rPr>
          <w:rFonts w:ascii="Times" w:hAnsi="Times" w:cs="Calibri"/>
          <w:sz w:val="24"/>
          <w:szCs w:val="24"/>
        </w:rPr>
        <w:t xml:space="preserve"> 17.1. </w:t>
      </w:r>
    </w:p>
    <w:p w:rsidR="004F7BCA" w:rsidRPr="003A2B5E" w:rsidRDefault="004F7BCA" w:rsidP="003A2B5E">
      <w:pPr>
        <w:pStyle w:val="11a"/>
        <w:numPr>
          <w:ilvl w:val="2"/>
          <w:numId w:val="23"/>
        </w:numPr>
        <w:ind w:left="0" w:firstLine="709"/>
        <w:rPr>
          <w:sz w:val="24"/>
          <w:szCs w:val="24"/>
        </w:rPr>
      </w:pPr>
      <w:bookmarkStart w:id="99"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tbl>
      <w:tblPr>
        <w:tblpPr w:leftFromText="180" w:rightFromText="180" w:vertAnchor="page" w:horzAnchor="margin" w:tblpY="1891"/>
        <w:tblW w:w="9524" w:type="dxa"/>
        <w:tblLook w:val="04A0"/>
      </w:tblPr>
      <w:tblGrid>
        <w:gridCol w:w="719"/>
        <w:gridCol w:w="1564"/>
        <w:gridCol w:w="1843"/>
        <w:gridCol w:w="2281"/>
        <w:gridCol w:w="3117"/>
      </w:tblGrid>
      <w:tr w:rsidR="00AD4495" w:rsidRPr="00D551E0" w:rsidTr="00AD4495">
        <w:trPr>
          <w:trHeight w:val="307"/>
        </w:trPr>
        <w:tc>
          <w:tcPr>
            <w:tcW w:w="9524" w:type="dxa"/>
            <w:gridSpan w:val="5"/>
            <w:tcBorders>
              <w:bottom w:val="single" w:sz="4" w:space="0" w:color="auto"/>
            </w:tcBorders>
            <w:shd w:val="clear" w:color="auto" w:fill="auto"/>
            <w:vAlign w:val="center"/>
          </w:tcPr>
          <w:p w:rsidR="00AD4495" w:rsidRPr="00845C11" w:rsidRDefault="00AD4495" w:rsidP="00AD4495">
            <w:pPr>
              <w:jc w:val="both"/>
              <w:rPr>
                <w:rFonts w:ascii="Times New Roman" w:hAnsi="Times New Roman"/>
                <w:color w:val="000000"/>
                <w:sz w:val="24"/>
                <w:szCs w:val="24"/>
              </w:rPr>
            </w:pPr>
            <w:r>
              <w:rPr>
                <w:rFonts w:ascii="Times New Roman" w:hAnsi="Times New Roman"/>
                <w:sz w:val="24"/>
                <w:szCs w:val="24"/>
              </w:rPr>
              <w:t xml:space="preserve">Таблица 17.1. </w:t>
            </w:r>
            <w:r w:rsidRPr="00845C11">
              <w:rPr>
                <w:rFonts w:ascii="Times New Roman" w:hAnsi="Times New Roman"/>
                <w:sz w:val="24"/>
                <w:szCs w:val="24"/>
              </w:rPr>
              <w:t xml:space="preserve">Стоимость модернизации Подкачивающей насосной станции </w:t>
            </w:r>
          </w:p>
        </w:tc>
      </w:tr>
      <w:tr w:rsidR="00A62918" w:rsidRPr="00D551E0" w:rsidTr="00AD4495">
        <w:trPr>
          <w:trHeight w:val="335"/>
        </w:trPr>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bookmarkStart w:id="100" w:name="_Toc371075803"/>
            <w:r w:rsidRPr="003A2B5E">
              <w:rPr>
                <w:rFonts w:ascii="Times New Roman" w:hAnsi="Times New Roman"/>
                <w:color w:val="000000"/>
                <w:sz w:val="20"/>
                <w:szCs w:val="20"/>
              </w:rPr>
              <w:t>№ п/п</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Стоимость проекта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Всего,</w:t>
            </w:r>
          </w:p>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руб.</w:t>
            </w:r>
          </w:p>
        </w:tc>
        <w:tc>
          <w:tcPr>
            <w:tcW w:w="5398" w:type="dxa"/>
            <w:gridSpan w:val="2"/>
            <w:tcBorders>
              <w:top w:val="single" w:sz="4" w:space="0" w:color="auto"/>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sz w:val="20"/>
                <w:szCs w:val="20"/>
              </w:rPr>
            </w:pPr>
            <w:r w:rsidRPr="003A2B5E">
              <w:rPr>
                <w:rFonts w:ascii="Times New Roman" w:hAnsi="Times New Roman"/>
                <w:color w:val="000000"/>
                <w:sz w:val="20"/>
                <w:szCs w:val="20"/>
              </w:rPr>
              <w:t>в том числе по годам:</w:t>
            </w:r>
          </w:p>
        </w:tc>
      </w:tr>
      <w:tr w:rsidR="00A62918" w:rsidRPr="00D551E0" w:rsidTr="00AD4495">
        <w:trPr>
          <w:trHeight w:val="641"/>
        </w:trPr>
        <w:tc>
          <w:tcPr>
            <w:tcW w:w="719" w:type="dxa"/>
            <w:vMerge/>
            <w:tcBorders>
              <w:top w:val="nil"/>
              <w:left w:val="single" w:sz="4" w:space="0" w:color="auto"/>
              <w:bottom w:val="single" w:sz="4" w:space="0" w:color="000000"/>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2281"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2017, руб.</w:t>
            </w:r>
          </w:p>
        </w:tc>
        <w:tc>
          <w:tcPr>
            <w:tcW w:w="3117"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2018,руб.</w:t>
            </w:r>
          </w:p>
        </w:tc>
      </w:tr>
      <w:tr w:rsidR="00A62918" w:rsidRPr="00D551E0" w:rsidTr="00AD4495">
        <w:trPr>
          <w:trHeight w:val="614"/>
        </w:trPr>
        <w:tc>
          <w:tcPr>
            <w:tcW w:w="719" w:type="dxa"/>
            <w:tcBorders>
              <w:top w:val="nil"/>
              <w:left w:val="single" w:sz="4" w:space="0" w:color="auto"/>
              <w:bottom w:val="single" w:sz="4" w:space="0" w:color="auto"/>
              <w:right w:val="single" w:sz="4" w:space="0" w:color="auto"/>
            </w:tcBorders>
            <w:shd w:val="clear" w:color="000000" w:fill="FCD5B4"/>
            <w:vAlign w:val="bottom"/>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w:t>
            </w:r>
          </w:p>
        </w:tc>
        <w:tc>
          <w:tcPr>
            <w:tcW w:w="1564" w:type="dxa"/>
            <w:tcBorders>
              <w:top w:val="single" w:sz="4" w:space="0" w:color="auto"/>
              <w:left w:val="nil"/>
              <w:bottom w:val="single" w:sz="4" w:space="0" w:color="auto"/>
              <w:right w:val="single" w:sz="4" w:space="0" w:color="000000"/>
            </w:tcBorders>
            <w:shd w:val="clear" w:color="000000" w:fill="FCD5B4"/>
            <w:vAlign w:val="center"/>
            <w:hideMark/>
          </w:tcPr>
          <w:p w:rsidR="00A62918" w:rsidRPr="003A2B5E" w:rsidRDefault="00A62918" w:rsidP="00AD4495">
            <w:pPr>
              <w:rPr>
                <w:rFonts w:ascii="Times New Roman" w:hAnsi="Times New Roman"/>
                <w:color w:val="000000"/>
                <w:sz w:val="20"/>
                <w:szCs w:val="20"/>
              </w:rPr>
            </w:pPr>
            <w:r w:rsidRPr="003A2B5E">
              <w:rPr>
                <w:rFonts w:ascii="Times New Roman" w:hAnsi="Times New Roman"/>
                <w:color w:val="000000"/>
                <w:sz w:val="20"/>
                <w:szCs w:val="20"/>
              </w:rPr>
              <w:t>ВСЕГО:</w:t>
            </w:r>
          </w:p>
        </w:tc>
        <w:tc>
          <w:tcPr>
            <w:tcW w:w="1843"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22 749 100,0</w:t>
            </w:r>
          </w:p>
        </w:tc>
        <w:tc>
          <w:tcPr>
            <w:tcW w:w="2281"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8 000 000, в т.ч. Проек. док.</w:t>
            </w:r>
          </w:p>
        </w:tc>
        <w:tc>
          <w:tcPr>
            <w:tcW w:w="3117"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14 749 100,0</w:t>
            </w:r>
          </w:p>
        </w:tc>
      </w:tr>
    </w:tbl>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r w:rsidRPr="00080175">
        <w:rPr>
          <w:caps w:val="0"/>
          <w:sz w:val="24"/>
          <w:szCs w:val="24"/>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2" w:name="_Toc364782425"/>
      <w:bookmarkStart w:id="103" w:name="_Toc371075807"/>
      <w:bookmarkEnd w:id="100"/>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4" w:name="_Toc468960467"/>
      <w:r w:rsidRPr="00080175">
        <w:rPr>
          <w:caps w:val="0"/>
          <w:sz w:val="24"/>
          <w:szCs w:val="24"/>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5" w:name="_Toc386569139"/>
      <w:bookmarkStart w:id="106" w:name="_Toc468960468"/>
      <w:r w:rsidRPr="00080175">
        <w:rPr>
          <w:caps w:val="0"/>
          <w:sz w:val="24"/>
          <w:szCs w:val="24"/>
        </w:rPr>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Start w:id="107" w:name="_GoBack"/>
      <w:bookmarkEnd w:id="107"/>
    </w:p>
    <w:p w:rsidR="001465E1" w:rsidRPr="00151D43" w:rsidRDefault="00FB2CA5" w:rsidP="001465E1">
      <w:pPr>
        <w:pStyle w:val="afffa"/>
        <w:keepNext w:val="0"/>
        <w:spacing w:before="0" w:after="0"/>
        <w:ind w:right="0" w:firstLine="709"/>
        <w:rPr>
          <w:sz w:val="24"/>
          <w:szCs w:val="24"/>
          <w:lang w:eastAsia="ru-RU"/>
        </w:rPr>
      </w:pPr>
      <w:r>
        <w:rPr>
          <w:sz w:val="24"/>
          <w:szCs w:val="24"/>
          <w:lang w:eastAsia="ru-RU"/>
        </w:rPr>
        <w:t>На основании статьи</w:t>
      </w:r>
      <w:r w:rsidR="001465E1" w:rsidRPr="00151D43">
        <w:rPr>
          <w:sz w:val="24"/>
          <w:szCs w:val="24"/>
          <w:lang w:eastAsia="ru-RU"/>
        </w:rPr>
        <w:t xml:space="preserve">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ГУП ДХ АК </w:t>
      </w:r>
      <w:r w:rsidR="00080175" w:rsidRPr="00080175">
        <w:rPr>
          <w:rFonts w:ascii="Times New Roman" w:hAnsi="Times New Roman"/>
          <w:sz w:val="24"/>
          <w:szCs w:val="24"/>
        </w:rPr>
        <w:t>«Северо-Восточное ДСУ» «филиал Заринский»</w:t>
      </w:r>
      <w:r w:rsidR="00080175">
        <w:rPr>
          <w:rFonts w:ascii="Times New Roman" w:hAnsi="Times New Roman"/>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 xml:space="preserve">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 xml:space="preserve">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«Коммунальное хозяйство»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r w:rsidR="00CD2D1C">
        <w:rPr>
          <w:rFonts w:ascii="Times New Roman" w:hAnsi="Times New Roman"/>
          <w:sz w:val="24"/>
          <w:szCs w:val="24"/>
        </w:rPr>
        <w:t>Бесхозяйные т</w:t>
      </w:r>
      <w:r w:rsidR="00CD2D1C" w:rsidRPr="00CD2D1C">
        <w:rPr>
          <w:rFonts w:ascii="Times New Roman" w:hAnsi="Times New Roman"/>
          <w:sz w:val="24"/>
          <w:szCs w:val="24"/>
        </w:rPr>
        <w:t>епловые сети, расположенные по адресу: Россия, Алтайский край, г. Заринск, (проходящие от железобетонных плит ограждения «филиала Заринский» ГУП ДХ АК «Северо-Восточное ДСУ», расположенного по адресу: г. Заринск, ул. Заринская, 58, до домов по адресам:г. Заринск, ул. Дорожная, 3;г. Заринск, ул. Дорожная, 5;г. Заринск, ул. Дорожная, 7;г. Заринск, ул. Дорожная, 9;г. Заринск, ул. Дорожная, 11;г. Заринск, ул. Дорожная, 13;г. Заринск, ул. Дорожная, 15;г. Заринск, ул. Дорожная, 17;г. Заринск, ул. Дорожная, 20;г. Заринск, ул. Дорожная, 22;г. Заринск, ул. Дорожная, 22А;г. Заринск, ул. Дорожная, 23;г. Заринск, ул. Дорожная, 24;г. Заринск, ул. Дорожная, 25;г. Заринск, ул. Дорожная, 26;г. Заринск, ул. Дорожная, 27;г. Заринск, ул. Дорожная, 28;г. Заринск, ул. Дорожная, 30;г. Заринск, ул. Дорожная, 32;г. Заринск, ул. Дорожная, 34;г. Заринск, ул. Дорожная, 36;г. Заринск, ул. Дорожная, 38;г. Заринск, ул. Дорожная, 40;г. Заринск, ул. Дорожная, 46А)поставлены муниципальным образованием город Заринск Алтайского края на учет бесхозяйного объекта недвижимого имущества 28.10.2016 года в органе Росреестра, на основании решения суда от 30.06.2016 года. В случае, если в течение 1 года не объявится собственник, то вышеуказанные тепловые сети будут оформлены в муниципальную собственность в соответствии с действующим законодательством.</w:t>
      </w:r>
      <w:bookmarkEnd w:id="7"/>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9B9" w:rsidRDefault="006259B9" w:rsidP="00777905">
      <w:pPr>
        <w:spacing w:after="0" w:line="240" w:lineRule="auto"/>
      </w:pPr>
      <w:r>
        <w:separator/>
      </w:r>
    </w:p>
  </w:endnote>
  <w:endnote w:type="continuationSeparator" w:id="1">
    <w:p w:rsidR="006259B9" w:rsidRDefault="006259B9"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30" w:rsidRPr="0058637F" w:rsidRDefault="00BA2930" w:rsidP="008047B5">
    <w:pPr>
      <w:pStyle w:val="affa"/>
      <w:pBdr>
        <w:bottom w:val="single" w:sz="12" w:space="1" w:color="auto"/>
      </w:pBdr>
      <w:rPr>
        <w:sz w:val="24"/>
        <w:szCs w:val="24"/>
      </w:rPr>
    </w:pPr>
  </w:p>
  <w:p w:rsidR="00BA2930" w:rsidRPr="0058637F" w:rsidRDefault="00BA2930"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BA2930" w:rsidRPr="0058637F" w:rsidRDefault="003108BC" w:rsidP="008047B5">
    <w:pPr>
      <w:pStyle w:val="affa"/>
      <w:jc w:val="right"/>
      <w:rPr>
        <w:sz w:val="24"/>
        <w:szCs w:val="24"/>
      </w:rPr>
    </w:pPr>
    <w:r w:rsidRPr="0058637F">
      <w:rPr>
        <w:sz w:val="24"/>
        <w:szCs w:val="24"/>
      </w:rPr>
      <w:fldChar w:fldCharType="begin"/>
    </w:r>
    <w:r w:rsidR="00BA2930" w:rsidRPr="0058637F">
      <w:rPr>
        <w:sz w:val="24"/>
        <w:szCs w:val="24"/>
      </w:rPr>
      <w:instrText>PAGE   \* MERGEFORMAT</w:instrText>
    </w:r>
    <w:r w:rsidRPr="0058637F">
      <w:rPr>
        <w:sz w:val="24"/>
        <w:szCs w:val="24"/>
      </w:rPr>
      <w:fldChar w:fldCharType="separate"/>
    </w:r>
    <w:r w:rsidR="003B2178">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BA2930" w:rsidRPr="00262552" w:rsidRDefault="00BA2930" w:rsidP="00262552">
        <w:pPr>
          <w:pStyle w:val="affa"/>
          <w:pBdr>
            <w:top w:val="single" w:sz="12" w:space="0" w:color="auto"/>
          </w:pBdr>
          <w:jc w:val="center"/>
          <w:rPr>
            <w:rStyle w:val="aff9"/>
            <w:rFonts w:ascii="Times New Roman" w:hAnsi="Times New Roman" w:cs="Times New Roman"/>
          </w:rPr>
        </w:pPr>
      </w:p>
      <w:p w:rsidR="00BA2930" w:rsidRPr="00262552" w:rsidRDefault="003108BC"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BA2930"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BA2930">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9B9" w:rsidRDefault="006259B9" w:rsidP="00777905">
      <w:pPr>
        <w:spacing w:after="0" w:line="240" w:lineRule="auto"/>
      </w:pPr>
      <w:r>
        <w:separator/>
      </w:r>
    </w:p>
  </w:footnote>
  <w:footnote w:type="continuationSeparator" w:id="1">
    <w:p w:rsidR="006259B9" w:rsidRDefault="006259B9"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30" w:rsidRDefault="00BA2930" w:rsidP="003F3B4B">
    <w:pPr>
      <w:pStyle w:val="aff7"/>
      <w:jc w:val="left"/>
      <w:rPr>
        <w:caps/>
      </w:rPr>
    </w:pPr>
  </w:p>
  <w:p w:rsidR="00BA2930" w:rsidRPr="00BF0B17" w:rsidRDefault="00BA2930"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4FF"/>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08BC"/>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178"/>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9B9"/>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5D4C"/>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CA5"/>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rPr>
  </w:style>
  <w:style w:type="character" w:customStyle="1" w:styleId="216">
    <w:name w:val="заголовок 2 Знак1"/>
    <w:link w:val="2fc"/>
    <w:rsid w:val="00C43465"/>
    <w:rPr>
      <w:rFonts w:ascii="Times New Roman" w:eastAsia="Times New Roman" w:hAnsi="Times New Roman"/>
      <w:b/>
      <w:i/>
      <w:sz w:val="26"/>
      <w:lang/>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72307072"/>
        <c:axId val="72308608"/>
      </c:scatterChart>
      <c:valAx>
        <c:axId val="72307072"/>
        <c:scaling>
          <c:orientation val="minMax"/>
        </c:scaling>
        <c:axPos val="b"/>
        <c:majorGridlines>
          <c:spPr>
            <a:ln w="19050"/>
          </c:spPr>
        </c:majorGridlines>
        <c:minorGridlines/>
        <c:numFmt formatCode="General" sourceLinked="1"/>
        <c:tickLblPos val="nextTo"/>
        <c:spPr>
          <a:ln w="9525"/>
        </c:spPr>
        <c:crossAx val="72308608"/>
        <c:crosses val="autoZero"/>
        <c:crossBetween val="midCat"/>
      </c:valAx>
      <c:valAx>
        <c:axId val="72308608"/>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72307072"/>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72342144"/>
        <c:axId val="72385280"/>
      </c:lineChart>
      <c:catAx>
        <c:axId val="72342144"/>
        <c:scaling>
          <c:orientation val="minMax"/>
        </c:scaling>
        <c:axPos val="b"/>
        <c:majorGridlines/>
        <c:title>
          <c:tx>
            <c:strRef>
              <c:f>'Удельная стоимость'!$C$2:$C$3</c:f>
              <c:strCache>
                <c:ptCount val="1"/>
                <c:pt idx="0">
                  <c:v>Условный диаметр, мм</c:v>
                </c:pt>
              </c:strCache>
            </c:strRef>
          </c:tx>
        </c:title>
        <c:tickLblPos val="nextTo"/>
        <c:crossAx val="72385280"/>
        <c:crosses val="autoZero"/>
        <c:auto val="1"/>
        <c:lblAlgn val="ctr"/>
        <c:lblOffset val="100"/>
      </c:catAx>
      <c:valAx>
        <c:axId val="72385280"/>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72342144"/>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64975D-C2E9-43B8-8AF9-9D0DF873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19082</Words>
  <Characters>108771</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127598</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2017-02-02T05:12:00Z</cp:lastPrinted>
  <dcterms:created xsi:type="dcterms:W3CDTF">2023-10-25T01:25:00Z</dcterms:created>
  <dcterms:modified xsi:type="dcterms:W3CDTF">2023-10-25T01:25:00Z</dcterms:modified>
</cp:coreProperties>
</file>