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A" w:rsidRPr="004A03B3" w:rsidRDefault="00F75D6A" w:rsidP="00F75D6A">
      <w:pPr>
        <w:pStyle w:val="a3"/>
      </w:pPr>
      <w:r>
        <w:t>Рис.21 Структура затрат на производство и передачу тепловой энергии ООО «ЖКУ» за 202</w:t>
      </w:r>
      <w:r w:rsidR="00FF50B2">
        <w:t>2</w:t>
      </w:r>
      <w:r>
        <w:t xml:space="preserve"> г.</w:t>
      </w:r>
    </w:p>
    <w:p w:rsidR="00F75D6A" w:rsidRDefault="00F75D6A" w:rsidP="00F75D6A">
      <w:pPr>
        <w:pStyle w:val="a3"/>
      </w:pPr>
    </w:p>
    <w:p w:rsidR="00F75D6A" w:rsidRDefault="00F75D6A" w:rsidP="00F75D6A">
      <w:pPr>
        <w:pStyle w:val="a3"/>
        <w:sectPr w:rsidR="00F75D6A" w:rsidSect="00AA7D96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239250" cy="49244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9101F" w:rsidRDefault="00D9101F"/>
    <w:sectPr w:rsidR="00D9101F" w:rsidSect="00F75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D6A"/>
    <w:rsid w:val="002877B0"/>
    <w:rsid w:val="003113E3"/>
    <w:rsid w:val="00325B36"/>
    <w:rsid w:val="0081638C"/>
    <w:rsid w:val="009E6A6A"/>
    <w:rsid w:val="00AD2C7C"/>
    <w:rsid w:val="00AF6FD9"/>
    <w:rsid w:val="00CA3829"/>
    <w:rsid w:val="00D17511"/>
    <w:rsid w:val="00D9101F"/>
    <w:rsid w:val="00F75D6A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qFormat/>
    <w:rsid w:val="00F75D6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_Обычный Знак"/>
    <w:link w:val="a3"/>
    <w:locked/>
    <w:rsid w:val="00F75D6A"/>
    <w:rPr>
      <w:rFonts w:ascii="Times New Roman" w:eastAsia="Calibri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7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7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затрат на производство и передачу тепловой энергии ООО "ЖКУ" за 2022 г.</a:t>
            </a:r>
          </a:p>
        </c:rich>
      </c:tx>
      <c:layout>
        <c:manualLayout>
          <c:xMode val="edge"/>
          <c:yMode val="edge"/>
          <c:x val="0.10341265878350572"/>
          <c:y val="0"/>
        </c:manualLayout>
      </c:layout>
      <c:spPr>
        <a:noFill/>
        <a:ln w="24365">
          <a:noFill/>
        </a:ln>
      </c:spPr>
    </c:title>
    <c:view3D>
      <c:rotX val="35"/>
      <c:rotY val="270"/>
      <c:perspective val="0"/>
    </c:view3D>
    <c:plotArea>
      <c:layout>
        <c:manualLayout>
          <c:layoutTarget val="inner"/>
          <c:xMode val="edge"/>
          <c:yMode val="edge"/>
          <c:x val="6.2047569803516198E-3"/>
          <c:y val="0.1537037037037037"/>
          <c:w val="0.50879007238883434"/>
          <c:h val="0.629629629629631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FF"/>
            </a:solidFill>
            <a:ln w="12183">
              <a:solidFill>
                <a:srgbClr val="000000"/>
              </a:solidFill>
              <a:prstDash val="solid"/>
            </a:ln>
          </c:spPr>
          <c:explosion val="38"/>
          <c:dPt>
            <c:idx val="1"/>
            <c:spPr>
              <a:solidFill>
                <a:srgbClr val="993366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80008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CCFF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99CCFF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99CC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CCFFCC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FFCC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-2.1778119353725856E-2"/>
                  <c:y val="-1.7394737314779852E-2"/>
                </c:manualLayout>
              </c:layout>
              <c:dLblPos val="bestFit"/>
              <c:showPercent val="1"/>
            </c:dLbl>
            <c:dLbl>
              <c:idx val="5"/>
              <c:layout>
                <c:manualLayout>
                  <c:x val="1.145292487685024E-2"/>
                  <c:y val="-3.0716138167679063E-3"/>
                </c:manualLayout>
              </c:layout>
              <c:dLblPos val="bestFit"/>
              <c:showPercent val="1"/>
            </c:dLbl>
            <c:dLbl>
              <c:idx val="8"/>
              <c:layout>
                <c:manualLayout>
                  <c:x val="1.378023290799822E-2"/>
                  <c:y val="1.8732767964374942E-2"/>
                </c:manualLayout>
              </c:layout>
              <c:dLblPos val="bestFit"/>
              <c:showPercent val="1"/>
            </c:dLbl>
            <c:dLbl>
              <c:idx val="9"/>
              <c:layout>
                <c:manualLayout>
                  <c:x val="-2.5822896900914976E-3"/>
                  <c:y val="7.5649941348130334E-3"/>
                </c:manualLayout>
              </c:layout>
              <c:dLblPos val="bestFit"/>
              <c:showPercent val="1"/>
            </c:dLbl>
            <c:dLbl>
              <c:idx val="11"/>
              <c:dLblPos val="bestFit"/>
              <c:showPercent val="1"/>
            </c:dLbl>
            <c:numFmt formatCode="0.00%" sourceLinked="0"/>
            <c:spPr>
              <a:noFill/>
              <a:ln w="24365">
                <a:noFill/>
              </a:ln>
            </c:spPr>
            <c:txPr>
              <a:bodyPr/>
              <a:lstStyle/>
              <a:p>
                <a:pPr>
                  <a:defRPr sz="7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End"/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 formatCode="General">
                  <c:v>48.75</c:v>
                </c:pt>
                <c:pt idx="1">
                  <c:v>5.59</c:v>
                </c:pt>
                <c:pt idx="2" formatCode="General">
                  <c:v>10.44</c:v>
                </c:pt>
                <c:pt idx="3" formatCode="General">
                  <c:v>2.0000000000000004E-2</c:v>
                </c:pt>
                <c:pt idx="4" formatCode="General">
                  <c:v>10.25</c:v>
                </c:pt>
                <c:pt idx="5" formatCode="General">
                  <c:v>0.85000000000000009</c:v>
                </c:pt>
                <c:pt idx="6" formatCode="General">
                  <c:v>4.55</c:v>
                </c:pt>
                <c:pt idx="7" formatCode="General">
                  <c:v>6.63</c:v>
                </c:pt>
                <c:pt idx="8" formatCode="General">
                  <c:v>1.59</c:v>
                </c:pt>
                <c:pt idx="9" formatCode="General">
                  <c:v>2.5</c:v>
                </c:pt>
                <c:pt idx="10" formatCode="General">
                  <c:v>7.8</c:v>
                </c:pt>
                <c:pt idx="11" formatCode="General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183">
              <a:solidFill>
                <a:srgbClr val="000000"/>
              </a:solidFill>
              <a:prstDash val="solid"/>
            </a:ln>
          </c:spPr>
          <c:explosion val="25"/>
          <c:dLbls>
            <c:numFmt formatCode="0%" sourceLinked="0"/>
            <c:spPr>
              <a:solidFill>
                <a:srgbClr val="FFFFFF"/>
              </a:solidFill>
              <a:ln w="304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1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</c:ser>
        <c:dLbls>
          <c:showPercent val="1"/>
        </c:dLbls>
      </c:pie3DChart>
      <c:spPr>
        <a:solidFill>
          <a:srgbClr val="FFFFFF"/>
        </a:solidFill>
        <a:ln w="24365">
          <a:noFill/>
        </a:ln>
      </c:spPr>
    </c:plotArea>
    <c:legend>
      <c:legendPos val="r"/>
      <c:layout>
        <c:manualLayout>
          <c:xMode val="edge"/>
          <c:yMode val="edge"/>
          <c:x val="0.51272353150978145"/>
          <c:y val="0.1"/>
          <c:w val="0.48727646849021938"/>
          <c:h val="0.87592602569415723"/>
        </c:manualLayout>
      </c:layout>
      <c:spPr>
        <a:solidFill>
          <a:srgbClr val="FFFFFF"/>
        </a:solidFill>
        <a:ln w="12183">
          <a:solidFill>
            <a:srgbClr val="FFFFFF"/>
          </a:solidFill>
          <a:prstDash val="solid"/>
        </a:ln>
      </c:spPr>
      <c:txPr>
        <a:bodyPr/>
        <a:lstStyle/>
        <a:p>
          <a:pPr>
            <a:defRPr sz="8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1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5</cp:revision>
  <dcterms:created xsi:type="dcterms:W3CDTF">2022-02-22T03:05:00Z</dcterms:created>
  <dcterms:modified xsi:type="dcterms:W3CDTF">2023-03-02T02:59:00Z</dcterms:modified>
</cp:coreProperties>
</file>