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DB" w:rsidRDefault="001250DB">
      <w:r>
        <w:rPr>
          <w:noProof/>
          <w:lang w:eastAsia="ru-RU"/>
        </w:rPr>
        <w:drawing>
          <wp:inline distT="0" distB="0" distL="0" distR="0">
            <wp:extent cx="9353550" cy="47625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50DB" w:rsidRDefault="001250DB" w:rsidP="001250DB"/>
    <w:p w:rsidR="00D9101F" w:rsidRPr="001250DB" w:rsidRDefault="001250DB" w:rsidP="001250DB">
      <w:pPr>
        <w:tabs>
          <w:tab w:val="left" w:pos="1185"/>
        </w:tabs>
      </w:pPr>
      <w:r>
        <w:tab/>
        <w:t>Рис.22 Динамика изменения затрат на передачу тепловой энерг</w:t>
      </w:r>
      <w:proofErr w:type="gramStart"/>
      <w:r>
        <w:t>ии ООО</w:t>
      </w:r>
      <w:proofErr w:type="gramEnd"/>
      <w:r>
        <w:t xml:space="preserve">  «ЖКУ»</w:t>
      </w:r>
    </w:p>
    <w:sectPr w:rsidR="00D9101F" w:rsidRPr="001250DB" w:rsidSect="00125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0DB"/>
    <w:rsid w:val="001250DB"/>
    <w:rsid w:val="001C561A"/>
    <w:rsid w:val="002877B0"/>
    <w:rsid w:val="003113E3"/>
    <w:rsid w:val="004876AE"/>
    <w:rsid w:val="005122DC"/>
    <w:rsid w:val="0081638C"/>
    <w:rsid w:val="009E6A6A"/>
    <w:rsid w:val="00D9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изменения затрат на передачу тепловой энергии ООО "ЖКУ"</a:t>
            </a:r>
          </a:p>
        </c:rich>
      </c:tx>
      <c:layout>
        <c:manualLayout>
          <c:xMode val="edge"/>
          <c:yMode val="edge"/>
          <c:x val="0.24095146643254972"/>
          <c:y val="1.1070116235470575E-2"/>
        </c:manualLayout>
      </c:layout>
      <c:spPr>
        <a:noFill/>
        <a:ln w="24396">
          <a:noFill/>
        </a:ln>
      </c:spPr>
    </c:title>
    <c:plotArea>
      <c:layout>
        <c:manualLayout>
          <c:layoutTarget val="inner"/>
          <c:xMode val="edge"/>
          <c:yMode val="edge"/>
          <c:x val="8.4798345398138922E-2"/>
          <c:y val="8.6715867158671828E-2"/>
          <c:w val="0.88423027029483514"/>
          <c:h val="0.3560885608856100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расходы на покупаемую тепловую энергию(мощность)</c:v>
                </c:pt>
              </c:strCache>
            </c:strRef>
          </c:tx>
          <c:spPr>
            <a:solidFill>
              <a:srgbClr val="0000FF"/>
            </a:solidFill>
            <a:ln w="12198">
              <a:solidFill>
                <a:srgbClr val="000000"/>
              </a:solidFill>
              <a:prstDash val="solid"/>
            </a:ln>
          </c:spPr>
          <c:dLbls>
            <c:spPr>
              <a:noFill/>
              <a:ln w="24396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75057.600000000006</c:v>
                </c:pt>
                <c:pt idx="1">
                  <c:v>76567.7</c:v>
                </c:pt>
                <c:pt idx="2">
                  <c:v>69846.100000000006</c:v>
                </c:pt>
                <c:pt idx="3">
                  <c:v>71882.600000000006</c:v>
                </c:pt>
                <c:pt idx="4">
                  <c:v>70703.100000000006</c:v>
                </c:pt>
                <c:pt idx="5">
                  <c:v>81785.7</c:v>
                </c:pt>
                <c:pt idx="6">
                  <c:v>73258.2</c:v>
                </c:pt>
                <c:pt idx="7">
                  <c:v>76227.3</c:v>
                </c:pt>
                <c:pt idx="8">
                  <c:v>80347.600000000006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на топливо</c:v>
                </c:pt>
              </c:strCache>
            </c:strRef>
          </c:tx>
          <c:spPr>
            <a:solidFill>
              <a:srgbClr val="993366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6233.1</c:v>
                </c:pt>
                <c:pt idx="1">
                  <c:v>6854.7</c:v>
                </c:pt>
                <c:pt idx="2">
                  <c:v>6183</c:v>
                </c:pt>
                <c:pt idx="3">
                  <c:v>5346.3</c:v>
                </c:pt>
                <c:pt idx="4">
                  <c:v>5170.1000000000004</c:v>
                </c:pt>
                <c:pt idx="5">
                  <c:v>7266.4</c:v>
                </c:pt>
                <c:pt idx="6">
                  <c:v>7789.8</c:v>
                </c:pt>
                <c:pt idx="7">
                  <c:v>7190.9</c:v>
                </c:pt>
                <c:pt idx="8">
                  <c:v>8482.1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</c:strCache>
            </c:strRef>
          </c:tx>
          <c:spPr>
            <a:solidFill>
              <a:srgbClr val="99CC00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13161.7</c:v>
                </c:pt>
                <c:pt idx="1">
                  <c:v>12306.7</c:v>
                </c:pt>
                <c:pt idx="2">
                  <c:v>12369</c:v>
                </c:pt>
                <c:pt idx="3">
                  <c:v>12516.4</c:v>
                </c:pt>
                <c:pt idx="4">
                  <c:v>14624.5</c:v>
                </c:pt>
                <c:pt idx="5">
                  <c:v>15697.7</c:v>
                </c:pt>
                <c:pt idx="6">
                  <c:v>15646.5</c:v>
                </c:pt>
                <c:pt idx="7">
                  <c:v>15651.9</c:v>
                </c:pt>
                <c:pt idx="8">
                  <c:v>18731.2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 на приобретение холодной воды, используемой в технологическом процессе</c:v>
                </c:pt>
              </c:strCache>
            </c:strRef>
          </c:tx>
          <c:spPr>
            <a:solidFill>
              <a:srgbClr val="CC99FF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0">
                  <c:v>28</c:v>
                </c:pt>
                <c:pt idx="1">
                  <c:v>31.2</c:v>
                </c:pt>
                <c:pt idx="2">
                  <c:v>32.6</c:v>
                </c:pt>
                <c:pt idx="3">
                  <c:v>30.8</c:v>
                </c:pt>
                <c:pt idx="4">
                  <c:v>27.9</c:v>
                </c:pt>
                <c:pt idx="5">
                  <c:v>33.9</c:v>
                </c:pt>
                <c:pt idx="6">
                  <c:v>17.899999999999999</c:v>
                </c:pt>
                <c:pt idx="7">
                  <c:v>10.7</c:v>
                </c:pt>
                <c:pt idx="8">
                  <c:v>12.5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расходы на оплату труда и отчисления на социальные нужды основного производственного персонала</c:v>
                </c:pt>
              </c:strCache>
            </c:strRef>
          </c:tx>
          <c:spPr>
            <a:solidFill>
              <a:srgbClr val="FF6600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Sheet1!$B$6:$J$6</c:f>
              <c:numCache>
                <c:formatCode>General</c:formatCode>
                <c:ptCount val="9"/>
                <c:pt idx="0">
                  <c:v>9781.2000000000007</c:v>
                </c:pt>
                <c:pt idx="1">
                  <c:v>10420.799999999997</c:v>
                </c:pt>
                <c:pt idx="2">
                  <c:v>11777</c:v>
                </c:pt>
                <c:pt idx="3">
                  <c:v>14023.3</c:v>
                </c:pt>
                <c:pt idx="4">
                  <c:v>14964.1</c:v>
                </c:pt>
                <c:pt idx="5">
                  <c:v>17793.599999999995</c:v>
                </c:pt>
                <c:pt idx="6">
                  <c:v>18074.900000000001</c:v>
                </c:pt>
                <c:pt idx="7">
                  <c:v>16983.900000000001</c:v>
                </c:pt>
                <c:pt idx="8">
                  <c:v>16669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</c:strCache>
            </c:strRef>
          </c:tx>
          <c:spPr>
            <a:solidFill>
              <a:srgbClr val="0066CC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Sheet1!$B$7:$J$7</c:f>
              <c:numCache>
                <c:formatCode>General</c:formatCode>
                <c:ptCount val="9"/>
                <c:pt idx="0">
                  <c:v>907.5</c:v>
                </c:pt>
                <c:pt idx="1">
                  <c:v>825.3</c:v>
                </c:pt>
                <c:pt idx="2">
                  <c:v>606.6</c:v>
                </c:pt>
                <c:pt idx="3">
                  <c:v>574.6</c:v>
                </c:pt>
                <c:pt idx="4">
                  <c:v>1466.6</c:v>
                </c:pt>
                <c:pt idx="5">
                  <c:v>1390.9</c:v>
                </c:pt>
                <c:pt idx="6">
                  <c:v>1393.8</c:v>
                </c:pt>
                <c:pt idx="7">
                  <c:v>1407.6</c:v>
                </c:pt>
                <c:pt idx="8">
                  <c:v>1420.9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общехозяйственные (управленческие) расходы</c:v>
                </c:pt>
              </c:strCache>
            </c:strRef>
          </c:tx>
          <c:spPr>
            <a:solidFill>
              <a:srgbClr val="800080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Sheet1!$B$8:$J$8</c:f>
              <c:numCache>
                <c:formatCode>General</c:formatCode>
                <c:ptCount val="9"/>
                <c:pt idx="0">
                  <c:v>3404.8</c:v>
                </c:pt>
                <c:pt idx="1">
                  <c:v>3415</c:v>
                </c:pt>
                <c:pt idx="2">
                  <c:v>4000</c:v>
                </c:pt>
                <c:pt idx="3">
                  <c:v>5575.2</c:v>
                </c:pt>
                <c:pt idx="4">
                  <c:v>6320</c:v>
                </c:pt>
                <c:pt idx="5">
                  <c:v>6269</c:v>
                </c:pt>
                <c:pt idx="6">
                  <c:v>6325.1</c:v>
                </c:pt>
                <c:pt idx="7">
                  <c:v>5950.1</c:v>
                </c:pt>
                <c:pt idx="8">
                  <c:v>7014.6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расходы на ремонт (капитальный и текущий) основных производственных средств</c:v>
                </c:pt>
              </c:strCache>
            </c:strRef>
          </c:tx>
          <c:spPr>
            <a:solidFill>
              <a:srgbClr val="00CCFF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Sheet1!$B$9:$J$9</c:f>
              <c:numCache>
                <c:formatCode>General</c:formatCode>
                <c:ptCount val="9"/>
                <c:pt idx="0">
                  <c:v>3890.7</c:v>
                </c:pt>
                <c:pt idx="1">
                  <c:v>4071.2</c:v>
                </c:pt>
                <c:pt idx="2">
                  <c:v>5243.2</c:v>
                </c:pt>
                <c:pt idx="3">
                  <c:v>6840.7</c:v>
                </c:pt>
                <c:pt idx="4">
                  <c:v>6903.6</c:v>
                </c:pt>
                <c:pt idx="5">
                  <c:v>7280.5</c:v>
                </c:pt>
                <c:pt idx="6">
                  <c:v>10365.799999999997</c:v>
                </c:pt>
                <c:pt idx="7">
                  <c:v>10745.1</c:v>
                </c:pt>
                <c:pt idx="8">
                  <c:v>10804.1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</c:strCache>
            </c:strRef>
          </c:tx>
          <c:spPr>
            <a:solidFill>
              <a:srgbClr val="FFCC99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Sheet1!$B$10:$J$10</c:f>
              <c:numCache>
                <c:formatCode>General</c:formatCode>
                <c:ptCount val="9"/>
                <c:pt idx="0">
                  <c:v>835.1</c:v>
                </c:pt>
                <c:pt idx="1">
                  <c:v>934.2</c:v>
                </c:pt>
                <c:pt idx="2">
                  <c:v>889.7</c:v>
                </c:pt>
                <c:pt idx="3">
                  <c:v>1240</c:v>
                </c:pt>
                <c:pt idx="4">
                  <c:v>2375</c:v>
                </c:pt>
                <c:pt idx="5">
                  <c:v>2861.5</c:v>
                </c:pt>
                <c:pt idx="6">
                  <c:v>2474.5</c:v>
                </c:pt>
                <c:pt idx="7">
                  <c:v>2522.6999999999998</c:v>
                </c:pt>
                <c:pt idx="8">
                  <c:v>3111.3</c:v>
                </c:pt>
              </c:numCache>
            </c:numRef>
          </c:val>
        </c:ser>
        <c:ser>
          <c:idx val="10"/>
          <c:order val="9"/>
          <c:tx>
            <c:strRef>
              <c:f>Sheet1!$A$11</c:f>
              <c:strCache>
                <c:ptCount val="1"/>
                <c:pt idx="0">
                  <c:v>общепроизводственные расходы</c:v>
                </c:pt>
              </c:strCache>
            </c:strRef>
          </c:tx>
          <c:spPr>
            <a:solidFill>
              <a:srgbClr val="FFFF00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Sheet1!$B$11:$J$11</c:f>
              <c:numCache>
                <c:formatCode>General</c:formatCode>
                <c:ptCount val="9"/>
                <c:pt idx="0">
                  <c:v>10102.1</c:v>
                </c:pt>
                <c:pt idx="1">
                  <c:v>9873.7000000000007</c:v>
                </c:pt>
                <c:pt idx="2">
                  <c:v>10213</c:v>
                </c:pt>
                <c:pt idx="3">
                  <c:v>10947</c:v>
                </c:pt>
                <c:pt idx="4">
                  <c:v>12304.7</c:v>
                </c:pt>
                <c:pt idx="5">
                  <c:v>12808</c:v>
                </c:pt>
                <c:pt idx="6">
                  <c:v>12991.6</c:v>
                </c:pt>
                <c:pt idx="7">
                  <c:v>12494.7</c:v>
                </c:pt>
                <c:pt idx="8">
                  <c:v>12233</c:v>
                </c:pt>
              </c:numCache>
            </c:numRef>
          </c:val>
        </c:ser>
        <c:ser>
          <c:idx val="11"/>
          <c:order val="10"/>
          <c:tx>
            <c:strRef>
              <c:f>Sheet1!$A$12</c:f>
              <c:strCache>
                <c:ptCount val="1"/>
                <c:pt idx="0">
                  <c:v>расход на подпиточную воду</c:v>
                </c:pt>
              </c:strCache>
            </c:strRef>
          </c:tx>
          <c:spPr>
            <a:solidFill>
              <a:srgbClr val="00FFFF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Sheet1!$B$12:$J$12</c:f>
              <c:numCache>
                <c:formatCode>General</c:formatCode>
                <c:ptCount val="9"/>
                <c:pt idx="0">
                  <c:v>1598.9</c:v>
                </c:pt>
                <c:pt idx="1">
                  <c:v>1350</c:v>
                </c:pt>
                <c:pt idx="2">
                  <c:v>1486.9</c:v>
                </c:pt>
                <c:pt idx="3">
                  <c:v>1347.4</c:v>
                </c:pt>
                <c:pt idx="4">
                  <c:v>930.1</c:v>
                </c:pt>
                <c:pt idx="5">
                  <c:v>262</c:v>
                </c:pt>
                <c:pt idx="6">
                  <c:v>1158.4000000000001</c:v>
                </c:pt>
                <c:pt idx="7">
                  <c:v>1123</c:v>
                </c:pt>
                <c:pt idx="8">
                  <c:v>1545.4</c:v>
                </c:pt>
              </c:numCache>
            </c:numRef>
          </c:val>
        </c:ser>
        <c:ser>
          <c:idx val="12"/>
          <c:order val="11"/>
          <c:tx>
            <c:strRef>
              <c:f>Sheet1!$A$13</c:f>
              <c:strCache>
                <c:ptCount val="1"/>
                <c:pt idx="0">
                  <c:v>цеховые расходы</c:v>
                </c:pt>
              </c:strCache>
            </c:strRef>
          </c:tx>
          <c:spPr>
            <a:solidFill>
              <a:srgbClr val="FF00FF"/>
            </a:solidFill>
            <a:ln w="1219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Sheet1!$B$13:$J$13</c:f>
              <c:numCache>
                <c:formatCode>General</c:formatCode>
                <c:ptCount val="9"/>
                <c:pt idx="0">
                  <c:v>2620.1</c:v>
                </c:pt>
                <c:pt idx="1">
                  <c:v>2800</c:v>
                </c:pt>
                <c:pt idx="2">
                  <c:v>2907.4</c:v>
                </c:pt>
                <c:pt idx="3">
                  <c:v>3148.3</c:v>
                </c:pt>
                <c:pt idx="4">
                  <c:v>2884.5</c:v>
                </c:pt>
                <c:pt idx="5">
                  <c:v>3036.2</c:v>
                </c:pt>
                <c:pt idx="6">
                  <c:v>3244</c:v>
                </c:pt>
                <c:pt idx="7">
                  <c:v>3346</c:v>
                </c:pt>
                <c:pt idx="8">
                  <c:v>3624.5</c:v>
                </c:pt>
              </c:numCache>
            </c:numRef>
          </c:val>
        </c:ser>
        <c:ser>
          <c:idx val="13"/>
          <c:order val="12"/>
          <c:tx>
            <c:strRef>
              <c:f>Sheet1!$A$14</c:f>
              <c:strCache>
                <c:ptCount val="1"/>
                <c:pt idx="0">
                  <c:v>выручка от регулируемой деятельности</c:v>
                </c:pt>
              </c:strCache>
            </c:strRef>
          </c:tx>
          <c:spPr>
            <a:solidFill>
              <a:srgbClr val="CCFFFF"/>
            </a:solidFill>
            <a:ln w="12198">
              <a:solidFill>
                <a:srgbClr val="000000"/>
              </a:solidFill>
              <a:prstDash val="solid"/>
            </a:ln>
          </c:spPr>
          <c:dLbls>
            <c:spPr>
              <a:noFill/>
              <a:ln w="24396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Sheet1!$B$14:$J$14</c:f>
              <c:numCache>
                <c:formatCode>General</c:formatCode>
                <c:ptCount val="9"/>
                <c:pt idx="0">
                  <c:v>130521.9</c:v>
                </c:pt>
                <c:pt idx="1">
                  <c:v>127104.1</c:v>
                </c:pt>
                <c:pt idx="2">
                  <c:v>126053.3</c:v>
                </c:pt>
                <c:pt idx="3">
                  <c:v>137561</c:v>
                </c:pt>
                <c:pt idx="4">
                  <c:v>139136</c:v>
                </c:pt>
                <c:pt idx="5">
                  <c:v>163992.1</c:v>
                </c:pt>
                <c:pt idx="6">
                  <c:v>157352</c:v>
                </c:pt>
                <c:pt idx="7">
                  <c:v>153654.29999999999</c:v>
                </c:pt>
                <c:pt idx="8">
                  <c:v>163996.4</c:v>
                </c:pt>
              </c:numCache>
            </c:numRef>
          </c:val>
        </c:ser>
        <c:axId val="130628992"/>
        <c:axId val="87327872"/>
      </c:barChart>
      <c:catAx>
        <c:axId val="130628992"/>
        <c:scaling>
          <c:orientation val="minMax"/>
        </c:scaling>
        <c:axPos val="b"/>
        <c:majorGridlines>
          <c:spPr>
            <a:ln w="304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7327872"/>
        <c:crosses val="autoZero"/>
        <c:lblAlgn val="ctr"/>
        <c:lblOffset val="100"/>
        <c:tickLblSkip val="1"/>
        <c:tickMarkSkip val="1"/>
      </c:catAx>
      <c:valAx>
        <c:axId val="87327872"/>
        <c:scaling>
          <c:logBase val="10"/>
          <c:orientation val="minMax"/>
        </c:scaling>
        <c:axPos val="l"/>
        <c:majorGridlines>
          <c:spPr>
            <a:ln w="304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6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Затраты, тыс. руб.</a:t>
                </a:r>
              </a:p>
            </c:rich>
          </c:tx>
          <c:layout>
            <c:manualLayout>
              <c:xMode val="edge"/>
              <c:yMode val="edge"/>
              <c:x val="8.2730390408516045E-3"/>
              <c:y val="0.17712185976752906"/>
            </c:manualLayout>
          </c:layout>
          <c:spPr>
            <a:noFill/>
            <a:ln w="24396">
              <a:noFill/>
            </a:ln>
          </c:spPr>
        </c:title>
        <c:numFmt formatCode="General" sourceLinked="1"/>
        <c:tickLblPos val="nextTo"/>
        <c:spPr>
          <a:ln w="30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0628992"/>
        <c:crosses val="autoZero"/>
        <c:crossBetween val="between"/>
      </c:valAx>
      <c:spPr>
        <a:solidFill>
          <a:srgbClr val="FFFFFF"/>
        </a:solidFill>
        <a:ln w="24396">
          <a:noFill/>
        </a:ln>
      </c:spPr>
    </c:plotArea>
    <c:legend>
      <c:legendPos val="b"/>
      <c:layout>
        <c:manualLayout>
          <c:xMode val="edge"/>
          <c:yMode val="edge"/>
          <c:x val="5.2740431836264444E-2"/>
          <c:y val="0.50922513257271462"/>
          <c:w val="0.89865565584789753"/>
          <c:h val="0.48523991643901621"/>
        </c:manualLayout>
      </c:layout>
      <c:spPr>
        <a:solidFill>
          <a:srgbClr val="FFFFFF"/>
        </a:solidFill>
        <a:ln w="12198">
          <a:solidFill>
            <a:srgbClr val="FFFFFF"/>
          </a:solidFill>
          <a:prstDash val="solid"/>
        </a:ln>
      </c:spPr>
      <c:txPr>
        <a:bodyPr/>
        <a:lstStyle/>
        <a:p>
          <a:pPr>
            <a:defRPr sz="79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3</cp:revision>
  <dcterms:created xsi:type="dcterms:W3CDTF">2022-02-22T03:11:00Z</dcterms:created>
  <dcterms:modified xsi:type="dcterms:W3CDTF">2022-02-24T06:24:00Z</dcterms:modified>
</cp:coreProperties>
</file>