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___</w:t>
      </w:r>
      <w:r w:rsidR="00547CE3">
        <w:t>___</w:t>
      </w:r>
      <w:r w:rsidR="00547CE3" w:rsidRPr="00547CE3">
        <w:rPr>
          <w:u w:val="single"/>
        </w:rPr>
        <w:t>01.12.2021</w:t>
      </w:r>
      <w:r w:rsidRPr="00627673">
        <w:t>___________№_</w:t>
      </w:r>
      <w:r w:rsidR="00547CE3" w:rsidRPr="00547CE3">
        <w:rPr>
          <w:u w:val="single"/>
        </w:rPr>
        <w:t>102-р</w:t>
      </w:r>
      <w:r w:rsidRPr="00627673">
        <w:t xml:space="preserve">_____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801641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7815B5">
              <w:rPr>
                <w:rFonts w:eastAsia="Calibri"/>
              </w:rPr>
              <w:t>2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proofErr w:type="gramStart"/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</w:t>
      </w:r>
      <w:r w:rsidR="00576D65">
        <w:t xml:space="preserve"> </w:t>
      </w:r>
      <w:r w:rsidRPr="00C12C81">
        <w:t xml:space="preserve">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</w:t>
      </w:r>
      <w:r w:rsidR="00576D65">
        <w:rPr>
          <w:color w:val="000000"/>
        </w:rPr>
        <w:t xml:space="preserve"> </w:t>
      </w:r>
      <w:r w:rsidRPr="00FC12CB">
        <w:rPr>
          <w:color w:val="000000"/>
        </w:rPr>
        <w:t>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B303D6">
        <w:rPr>
          <w:rFonts w:eastAsia="Calibri"/>
        </w:rPr>
        <w:t>2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576D65" w:rsidP="003642B9">
      <w:r>
        <w:t>Заместитель п</w:t>
      </w:r>
      <w:r w:rsidR="003642B9">
        <w:t>редседател</w:t>
      </w:r>
      <w:r>
        <w:t>я</w:t>
      </w:r>
      <w:r w:rsidR="003642B9">
        <w:t xml:space="preserve"> комитета                                                                 </w:t>
      </w:r>
      <w:r>
        <w:t xml:space="preserve">      </w:t>
      </w:r>
      <w:r w:rsidR="003642B9">
        <w:t xml:space="preserve"> </w:t>
      </w:r>
      <w:r>
        <w:t xml:space="preserve">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B9529B">
      <w:pPr>
        <w:keepNext/>
        <w:keepLines/>
        <w:spacing w:line="259" w:lineRule="auto"/>
        <w:ind w:left="5529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965021" w:rsidRPr="00965021">
        <w:rPr>
          <w:rFonts w:eastAsia="Calibri"/>
          <w:u w:val="single"/>
        </w:rPr>
        <w:t>01</w:t>
      </w:r>
      <w:r w:rsidR="00BF586A">
        <w:rPr>
          <w:rFonts w:eastAsia="Calibri"/>
        </w:rPr>
        <w:t>»</w:t>
      </w:r>
      <w:r w:rsidR="00965021">
        <w:rPr>
          <w:rFonts w:eastAsia="Calibri"/>
        </w:rPr>
        <w:t xml:space="preserve"> </w:t>
      </w:r>
      <w:r w:rsidR="00965021" w:rsidRPr="00965021">
        <w:rPr>
          <w:rFonts w:eastAsia="Calibri"/>
          <w:u w:val="single"/>
        </w:rPr>
        <w:t>декабря</w:t>
      </w:r>
      <w:r w:rsidR="00A26248">
        <w:rPr>
          <w:rFonts w:eastAsia="Calibri"/>
        </w:rPr>
        <w:t xml:space="preserve"> </w:t>
      </w:r>
      <w:r w:rsidR="00615E2F">
        <w:rPr>
          <w:rFonts w:eastAsia="Calibri"/>
        </w:rPr>
        <w:t>202</w:t>
      </w:r>
      <w:r w:rsidR="00BF586A">
        <w:rPr>
          <w:rFonts w:eastAsia="Calibri"/>
        </w:rPr>
        <w:t>1</w:t>
      </w:r>
      <w:r w:rsidR="00615E2F">
        <w:rPr>
          <w:rFonts w:eastAsia="Calibri"/>
        </w:rPr>
        <w:t xml:space="preserve">г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_</w:t>
      </w:r>
      <w:r w:rsidR="00965021" w:rsidRPr="00965021">
        <w:rPr>
          <w:rFonts w:eastAsia="Calibri"/>
          <w:u w:val="single"/>
        </w:rPr>
        <w:t>102-р</w:t>
      </w:r>
      <w:r w:rsidR="00BF586A">
        <w:rPr>
          <w:rFonts w:eastAsia="Calibri"/>
        </w:rPr>
        <w:t>___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>
        <w:rPr>
          <w:rFonts w:eastAsia="Calibri"/>
        </w:rPr>
        <w:t>2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</w:t>
      </w:r>
      <w:proofErr w:type="spellStart"/>
      <w:r w:rsidRPr="00365DB7">
        <w:t>Заринского</w:t>
      </w:r>
      <w:proofErr w:type="spellEnd"/>
      <w:r w:rsidRPr="00365DB7">
        <w:t xml:space="preserve">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677328">
        <w:t>0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2021 год не утверждался.</w:t>
      </w:r>
      <w:proofErr w:type="gramEnd"/>
      <w:r w:rsidRPr="00677328">
        <w:rPr>
          <w:color w:val="010101"/>
        </w:rPr>
        <w:t xml:space="preserve">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</w:t>
        </w:r>
        <w:proofErr w:type="gramStart"/>
        <w:r w:rsidR="00487D8A" w:rsidRPr="00487D8A">
          <w:rPr>
            <w:rStyle w:val="a7"/>
            <w:color w:val="auto"/>
            <w:u w:val="none"/>
          </w:rPr>
          <w:t>закон</w:t>
        </w:r>
        <w:proofErr w:type="gramEnd"/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2022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proofErr w:type="gramStart"/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      </w:r>
            <w:proofErr w:type="gramEnd"/>
            <w:r w:rsidRPr="002B078D">
              <w:rPr>
                <w:sz w:val="22"/>
                <w:szCs w:val="22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DA" w:rsidRDefault="001732DA" w:rsidP="00A36295">
      <w:r>
        <w:separator/>
      </w:r>
    </w:p>
  </w:endnote>
  <w:endnote w:type="continuationSeparator" w:id="0">
    <w:p w:rsidR="001732DA" w:rsidRDefault="001732DA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732DA">
    <w:pPr>
      <w:pStyle w:val="a3"/>
    </w:pPr>
  </w:p>
  <w:p w:rsidR="00A04185" w:rsidRPr="00C109F5" w:rsidRDefault="001732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DA" w:rsidRDefault="001732DA" w:rsidP="00A36295">
      <w:r>
        <w:separator/>
      </w:r>
    </w:p>
  </w:footnote>
  <w:footnote w:type="continuationSeparator" w:id="0">
    <w:p w:rsidR="001732DA" w:rsidRDefault="001732DA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4F37A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732DA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536DA"/>
    <w:rsid w:val="00161881"/>
    <w:rsid w:val="00163280"/>
    <w:rsid w:val="001659BC"/>
    <w:rsid w:val="001732DA"/>
    <w:rsid w:val="00210C21"/>
    <w:rsid w:val="002167CA"/>
    <w:rsid w:val="0027074C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67C13"/>
    <w:rsid w:val="003756ED"/>
    <w:rsid w:val="00377E3B"/>
    <w:rsid w:val="00381A31"/>
    <w:rsid w:val="003C5CE7"/>
    <w:rsid w:val="003D4A59"/>
    <w:rsid w:val="003E4500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47CE3"/>
    <w:rsid w:val="00576D6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65DCB"/>
    <w:rsid w:val="007815B5"/>
    <w:rsid w:val="00795BB1"/>
    <w:rsid w:val="00801641"/>
    <w:rsid w:val="00806438"/>
    <w:rsid w:val="008313EB"/>
    <w:rsid w:val="0083457D"/>
    <w:rsid w:val="00886263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C05B7"/>
    <w:rsid w:val="009D66BA"/>
    <w:rsid w:val="00A01C2C"/>
    <w:rsid w:val="00A22DA5"/>
    <w:rsid w:val="00A26248"/>
    <w:rsid w:val="00A36295"/>
    <w:rsid w:val="00A86CCD"/>
    <w:rsid w:val="00A87E82"/>
    <w:rsid w:val="00AB01C8"/>
    <w:rsid w:val="00AB092D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F2F6D"/>
    <w:rsid w:val="00D02B58"/>
    <w:rsid w:val="00D134C9"/>
    <w:rsid w:val="00D57211"/>
    <w:rsid w:val="00D63C7A"/>
    <w:rsid w:val="00D65947"/>
    <w:rsid w:val="00D75967"/>
    <w:rsid w:val="00DA3961"/>
    <w:rsid w:val="00DC1326"/>
    <w:rsid w:val="00DC465A"/>
    <w:rsid w:val="00DD3F68"/>
    <w:rsid w:val="00DE1CCE"/>
    <w:rsid w:val="00DF48A0"/>
    <w:rsid w:val="00E3607D"/>
    <w:rsid w:val="00E416F6"/>
    <w:rsid w:val="00E66E66"/>
    <w:rsid w:val="00E67959"/>
    <w:rsid w:val="00E74BF2"/>
    <w:rsid w:val="00EC5B26"/>
    <w:rsid w:val="00EE680B"/>
    <w:rsid w:val="00EF0AE0"/>
    <w:rsid w:val="00F12BEE"/>
    <w:rsid w:val="00F523C3"/>
    <w:rsid w:val="00F70BFF"/>
    <w:rsid w:val="00F71C26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2EBC-DE70-4E9E-A872-20E236F0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2023-12-04T09:20:00Z</dcterms:created>
  <dcterms:modified xsi:type="dcterms:W3CDTF">2023-12-04T09:20:00Z</dcterms:modified>
</cp:coreProperties>
</file>